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DE" w:rsidRDefault="00C031DE" w:rsidP="00C031DE">
      <w:pPr>
        <w:jc w:val="center"/>
        <w:rPr>
          <w:b/>
          <w:sz w:val="22"/>
          <w:szCs w:val="22"/>
          <w:lang w:val="en-US"/>
        </w:rPr>
      </w:pPr>
      <w:r>
        <w:rPr>
          <w:b/>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C031DE" w:rsidRDefault="00C031DE" w:rsidP="00C031DE">
      <w:pPr>
        <w:jc w:val="center"/>
        <w:rPr>
          <w:b/>
          <w:sz w:val="22"/>
          <w:szCs w:val="22"/>
          <w:lang w:val="en-US"/>
        </w:rPr>
      </w:pPr>
    </w:p>
    <w:p w:rsidR="00C031DE" w:rsidRPr="001716BA" w:rsidRDefault="00C031DE" w:rsidP="00C031DE">
      <w:pPr>
        <w:jc w:val="center"/>
        <w:rPr>
          <w:b/>
          <w:color w:val="0070C0"/>
          <w:sz w:val="36"/>
          <w:szCs w:val="36"/>
          <w:lang w:val="en-US"/>
        </w:rPr>
      </w:pPr>
      <w:r w:rsidRPr="001716BA">
        <w:rPr>
          <w:b/>
          <w:color w:val="0070C0"/>
          <w:sz w:val="36"/>
          <w:szCs w:val="36"/>
          <w:lang w:val="en-US"/>
        </w:rPr>
        <w:t>BOARD OF VARIANCE</w:t>
      </w:r>
    </w:p>
    <w:p w:rsidR="00C031DE" w:rsidRDefault="00C031DE" w:rsidP="00C031DE">
      <w:pPr>
        <w:jc w:val="center"/>
        <w:rPr>
          <w:b/>
          <w:sz w:val="22"/>
          <w:szCs w:val="22"/>
          <w:lang w:val="en-US"/>
        </w:rPr>
      </w:pPr>
    </w:p>
    <w:p w:rsidR="00C031DE" w:rsidRDefault="00C031DE" w:rsidP="00C031DE">
      <w:pPr>
        <w:jc w:val="center"/>
        <w:rPr>
          <w:b/>
          <w:sz w:val="28"/>
          <w:szCs w:val="28"/>
          <w:lang w:val="en-US"/>
        </w:rPr>
      </w:pPr>
      <w:r w:rsidRPr="001716BA">
        <w:rPr>
          <w:b/>
          <w:sz w:val="28"/>
          <w:szCs w:val="28"/>
          <w:lang w:val="en-US"/>
        </w:rPr>
        <w:t>NOTICE OF MEETING</w:t>
      </w:r>
    </w:p>
    <w:p w:rsidR="00C031DE" w:rsidRPr="00FC3C05" w:rsidRDefault="00C031DE" w:rsidP="00C031DE">
      <w:pPr>
        <w:jc w:val="center"/>
        <w:rPr>
          <w:b/>
          <w:sz w:val="22"/>
          <w:szCs w:val="22"/>
          <w:lang w:val="en-US"/>
        </w:rPr>
      </w:pPr>
    </w:p>
    <w:p w:rsidR="003609FE" w:rsidRDefault="003609FE" w:rsidP="00C031DE">
      <w:pPr>
        <w:pBdr>
          <w:top w:val="single" w:sz="4" w:space="1" w:color="auto"/>
        </w:pBdr>
        <w:rPr>
          <w:sz w:val="22"/>
          <w:szCs w:val="22"/>
          <w:lang w:val="en-US"/>
        </w:rPr>
      </w:pPr>
    </w:p>
    <w:p w:rsidR="00337C05" w:rsidRPr="00F36F25" w:rsidRDefault="00337C05" w:rsidP="00C031DE">
      <w:pPr>
        <w:pBdr>
          <w:top w:val="single" w:sz="4" w:space="1" w:color="auto"/>
        </w:pBdr>
        <w:rPr>
          <w:sz w:val="22"/>
          <w:szCs w:val="22"/>
          <w:lang w:val="en-US"/>
        </w:rPr>
      </w:pPr>
    </w:p>
    <w:p w:rsidR="00C031DE" w:rsidRPr="00F36F25" w:rsidRDefault="00C031DE" w:rsidP="00C031DE">
      <w:pPr>
        <w:jc w:val="both"/>
        <w:rPr>
          <w:sz w:val="22"/>
          <w:szCs w:val="22"/>
          <w:lang w:val="en-US"/>
        </w:rPr>
      </w:pPr>
      <w:r w:rsidRPr="00F36F25">
        <w:rPr>
          <w:sz w:val="22"/>
          <w:szCs w:val="22"/>
          <w:lang w:val="en-US"/>
        </w:rPr>
        <w:t xml:space="preserve">A meeting of the Board of Variance will be held on Thursday, </w:t>
      </w:r>
      <w:r w:rsidR="00B33E51" w:rsidRPr="00F36F25">
        <w:rPr>
          <w:sz w:val="22"/>
          <w:szCs w:val="22"/>
          <w:lang w:val="en-US"/>
        </w:rPr>
        <w:fldChar w:fldCharType="begin"/>
      </w:r>
      <w:r w:rsidRPr="00F36F25">
        <w:rPr>
          <w:sz w:val="22"/>
          <w:szCs w:val="22"/>
          <w:lang w:val="en-US"/>
        </w:rPr>
        <w:instrText xml:space="preserve"> FILLIN "insert date of meeting (e.g. June 18, 2009)" </w:instrText>
      </w:r>
      <w:r w:rsidR="00B33E51" w:rsidRPr="00F36F25">
        <w:rPr>
          <w:sz w:val="22"/>
          <w:szCs w:val="22"/>
          <w:lang w:val="en-US"/>
        </w:rPr>
        <w:fldChar w:fldCharType="end"/>
      </w:r>
      <w:r w:rsidRPr="00F36F25">
        <w:rPr>
          <w:sz w:val="22"/>
          <w:szCs w:val="22"/>
          <w:lang w:val="en-US"/>
        </w:rPr>
        <w:t>2012-NOV-15 at 5:30pm in the Boardroom, City Hall, 455 Wallace Street, Nanaimo, BC to hear the following appeal:</w:t>
      </w:r>
    </w:p>
    <w:p w:rsidR="00C031DE" w:rsidRPr="00F36F25" w:rsidRDefault="00C031DE" w:rsidP="00C031DE">
      <w:pPr>
        <w:tabs>
          <w:tab w:val="left" w:pos="2160"/>
          <w:tab w:val="left" w:pos="3600"/>
        </w:tabs>
        <w:jc w:val="both"/>
        <w:rPr>
          <w:b/>
          <w:color w:val="0070C0"/>
          <w:sz w:val="22"/>
          <w:szCs w:val="22"/>
          <w:lang w:val="en-US"/>
        </w:rPr>
      </w:pPr>
    </w:p>
    <w:p w:rsidR="00B27134" w:rsidRPr="00F36F25" w:rsidRDefault="00B27134" w:rsidP="00B27134">
      <w:pPr>
        <w:tabs>
          <w:tab w:val="left" w:pos="2700"/>
        </w:tabs>
        <w:jc w:val="both"/>
        <w:rPr>
          <w:b/>
          <w:color w:val="0070C0"/>
          <w:sz w:val="22"/>
          <w:szCs w:val="22"/>
          <w:lang w:val="en-US"/>
        </w:rPr>
      </w:pPr>
      <w:r w:rsidRPr="00F36F25">
        <w:rPr>
          <w:b/>
          <w:color w:val="0070C0"/>
          <w:sz w:val="22"/>
          <w:szCs w:val="22"/>
          <w:lang w:val="en-US"/>
        </w:rPr>
        <w:t>APPEAL NO.:</w:t>
      </w:r>
      <w:r w:rsidRPr="00F36F25">
        <w:rPr>
          <w:b/>
          <w:color w:val="0070C0"/>
          <w:sz w:val="22"/>
          <w:szCs w:val="22"/>
          <w:lang w:val="en-US"/>
        </w:rPr>
        <w:tab/>
        <w:t>BOV610</w:t>
      </w:r>
    </w:p>
    <w:p w:rsidR="00B27134" w:rsidRPr="00F36F25" w:rsidRDefault="00B27134" w:rsidP="00B27134">
      <w:pPr>
        <w:jc w:val="both"/>
        <w:rPr>
          <w:b/>
          <w:sz w:val="22"/>
          <w:szCs w:val="22"/>
          <w:lang w:val="en-US"/>
        </w:rPr>
      </w:pPr>
    </w:p>
    <w:p w:rsidR="00B27134" w:rsidRPr="00F36F25" w:rsidRDefault="00B27134" w:rsidP="00B27134">
      <w:pPr>
        <w:tabs>
          <w:tab w:val="left" w:pos="2700"/>
        </w:tabs>
        <w:ind w:left="2700" w:hanging="2700"/>
        <w:jc w:val="both"/>
        <w:rPr>
          <w:sz w:val="22"/>
          <w:szCs w:val="22"/>
          <w:lang w:val="en-US"/>
        </w:rPr>
      </w:pPr>
      <w:r w:rsidRPr="00F36F25">
        <w:rPr>
          <w:b/>
          <w:sz w:val="22"/>
          <w:szCs w:val="22"/>
          <w:lang w:val="en-US"/>
        </w:rPr>
        <w:t>Applicant:</w:t>
      </w:r>
      <w:r w:rsidRPr="00F36F25">
        <w:rPr>
          <w:b/>
          <w:sz w:val="22"/>
          <w:szCs w:val="22"/>
          <w:lang w:val="en-US"/>
        </w:rPr>
        <w:tab/>
      </w:r>
      <w:r w:rsidRPr="00F36F25">
        <w:rPr>
          <w:sz w:val="22"/>
          <w:szCs w:val="22"/>
          <w:lang w:val="en-US"/>
        </w:rPr>
        <w:t>Ms. Katherine Waller</w:t>
      </w:r>
    </w:p>
    <w:p w:rsidR="00B27134" w:rsidRPr="00F36F25" w:rsidRDefault="00B27134" w:rsidP="00B27134">
      <w:pPr>
        <w:jc w:val="both"/>
        <w:rPr>
          <w:color w:val="000000"/>
          <w:sz w:val="22"/>
          <w:szCs w:val="22"/>
        </w:rPr>
      </w:pPr>
    </w:p>
    <w:p w:rsidR="00B27134" w:rsidRPr="00F36F25" w:rsidRDefault="00B27134" w:rsidP="00B27134">
      <w:pPr>
        <w:tabs>
          <w:tab w:val="left" w:pos="1440"/>
          <w:tab w:val="left" w:pos="2160"/>
          <w:tab w:val="left" w:pos="2700"/>
          <w:tab w:val="left" w:pos="3600"/>
        </w:tabs>
        <w:jc w:val="both"/>
        <w:rPr>
          <w:b/>
          <w:sz w:val="22"/>
          <w:szCs w:val="22"/>
          <w:lang w:val="en-US"/>
        </w:rPr>
      </w:pPr>
      <w:r w:rsidRPr="00F36F25">
        <w:rPr>
          <w:b/>
          <w:sz w:val="22"/>
          <w:szCs w:val="22"/>
          <w:lang w:val="en-US"/>
        </w:rPr>
        <w:t>Civic address:</w:t>
      </w:r>
      <w:r w:rsidRPr="00F36F25">
        <w:rPr>
          <w:b/>
          <w:sz w:val="22"/>
          <w:szCs w:val="22"/>
          <w:lang w:val="en-US"/>
        </w:rPr>
        <w:tab/>
      </w:r>
      <w:r w:rsidRPr="00F36F25">
        <w:rPr>
          <w:b/>
          <w:sz w:val="22"/>
          <w:szCs w:val="22"/>
          <w:lang w:val="en-US"/>
        </w:rPr>
        <w:tab/>
      </w:r>
      <w:r w:rsidRPr="00F36F25">
        <w:rPr>
          <w:sz w:val="22"/>
          <w:szCs w:val="22"/>
          <w:lang w:val="en-US"/>
        </w:rPr>
        <w:t>619 Fourth Street</w:t>
      </w:r>
    </w:p>
    <w:p w:rsidR="00B27134" w:rsidRPr="00F36F25" w:rsidRDefault="00B27134" w:rsidP="00B27134">
      <w:pPr>
        <w:jc w:val="both"/>
        <w:rPr>
          <w:b/>
          <w:sz w:val="22"/>
          <w:szCs w:val="22"/>
          <w:lang w:val="en-US"/>
        </w:rPr>
      </w:pPr>
    </w:p>
    <w:p w:rsidR="00B27134" w:rsidRPr="00F36F25" w:rsidRDefault="00B27134" w:rsidP="00B27134">
      <w:pPr>
        <w:tabs>
          <w:tab w:val="left" w:pos="2700"/>
        </w:tabs>
        <w:ind w:left="2700" w:hanging="2700"/>
        <w:rPr>
          <w:sz w:val="22"/>
          <w:szCs w:val="22"/>
        </w:rPr>
      </w:pPr>
      <w:r w:rsidRPr="00F36F25">
        <w:rPr>
          <w:b/>
          <w:sz w:val="22"/>
          <w:szCs w:val="22"/>
          <w:lang w:val="en-US"/>
        </w:rPr>
        <w:t>Legal Description:</w:t>
      </w:r>
      <w:r w:rsidRPr="00F36F25">
        <w:rPr>
          <w:b/>
          <w:sz w:val="22"/>
          <w:szCs w:val="22"/>
          <w:lang w:val="en-US"/>
        </w:rPr>
        <w:tab/>
      </w:r>
      <w:r w:rsidRPr="00F36F25">
        <w:rPr>
          <w:sz w:val="22"/>
          <w:szCs w:val="22"/>
        </w:rPr>
        <w:t>LOT 1, SECTION 1, NANAIMO DISTRICT, PLAN 7554</w:t>
      </w:r>
    </w:p>
    <w:p w:rsidR="00B27134" w:rsidRPr="00F36F25" w:rsidRDefault="00B27134" w:rsidP="00B27134">
      <w:pPr>
        <w:tabs>
          <w:tab w:val="left" w:pos="2700"/>
        </w:tabs>
        <w:ind w:left="2700" w:hanging="2700"/>
        <w:jc w:val="both"/>
        <w:rPr>
          <w:b/>
          <w:sz w:val="22"/>
          <w:szCs w:val="22"/>
          <w:lang w:val="en-US"/>
        </w:rPr>
      </w:pPr>
    </w:p>
    <w:p w:rsidR="000D0FC9" w:rsidRDefault="00B27134" w:rsidP="00B27134">
      <w:pPr>
        <w:tabs>
          <w:tab w:val="left" w:pos="2700"/>
        </w:tabs>
        <w:ind w:left="2700" w:hanging="2700"/>
        <w:jc w:val="both"/>
        <w:rPr>
          <w:sz w:val="22"/>
          <w:szCs w:val="22"/>
          <w:lang w:val="en-US"/>
        </w:rPr>
      </w:pPr>
      <w:r w:rsidRPr="00F36F25">
        <w:rPr>
          <w:b/>
          <w:sz w:val="22"/>
          <w:szCs w:val="22"/>
          <w:lang w:val="en-US"/>
        </w:rPr>
        <w:t>Purpose:</w:t>
      </w:r>
      <w:r w:rsidRPr="00F36F25">
        <w:rPr>
          <w:b/>
          <w:sz w:val="22"/>
          <w:szCs w:val="22"/>
          <w:lang w:val="en-US"/>
        </w:rPr>
        <w:tab/>
      </w:r>
      <w:r w:rsidRPr="00F36F25">
        <w:rPr>
          <w:sz w:val="22"/>
          <w:szCs w:val="22"/>
          <w:lang w:val="en-US"/>
        </w:rPr>
        <w:t xml:space="preserve">The applicant is requesting </w:t>
      </w:r>
      <w:r w:rsidR="000D0FC9">
        <w:rPr>
          <w:sz w:val="22"/>
          <w:szCs w:val="22"/>
          <w:lang w:val="en-US"/>
        </w:rPr>
        <w:t>to increase the allowable projection of stairs, landings and a front porch into the front yard setback from 2m to 3.07m</w:t>
      </w:r>
      <w:r w:rsidRPr="00F36F25">
        <w:rPr>
          <w:sz w:val="22"/>
          <w:szCs w:val="22"/>
          <w:lang w:val="en-US"/>
        </w:rPr>
        <w:t xml:space="preserve">, as shown on the attached survey, in order to permit the replacement of stairs in the front yard setback area.  </w:t>
      </w:r>
    </w:p>
    <w:p w:rsidR="000D0FC9" w:rsidRDefault="000D0FC9" w:rsidP="00B27134">
      <w:pPr>
        <w:tabs>
          <w:tab w:val="left" w:pos="2700"/>
        </w:tabs>
        <w:ind w:left="2700" w:hanging="2700"/>
        <w:jc w:val="both"/>
        <w:rPr>
          <w:sz w:val="22"/>
          <w:szCs w:val="22"/>
          <w:lang w:val="en-US"/>
        </w:rPr>
      </w:pPr>
    </w:p>
    <w:p w:rsidR="00B27134" w:rsidRPr="00F36F25" w:rsidRDefault="000D0FC9" w:rsidP="00B27134">
      <w:pPr>
        <w:tabs>
          <w:tab w:val="left" w:pos="2700"/>
        </w:tabs>
        <w:ind w:left="2700" w:hanging="2700"/>
        <w:jc w:val="both"/>
        <w:rPr>
          <w:sz w:val="22"/>
          <w:szCs w:val="22"/>
          <w:lang w:val="en-US"/>
        </w:rPr>
      </w:pPr>
      <w:r w:rsidRPr="000D0FC9">
        <w:rPr>
          <w:b/>
          <w:sz w:val="22"/>
          <w:szCs w:val="22"/>
          <w:lang w:val="en-US"/>
        </w:rPr>
        <w:t>Please Note:</w:t>
      </w:r>
      <w:r>
        <w:rPr>
          <w:sz w:val="22"/>
          <w:szCs w:val="22"/>
          <w:lang w:val="en-US"/>
        </w:rPr>
        <w:tab/>
      </w:r>
      <w:r w:rsidR="00B27134" w:rsidRPr="00F36F25">
        <w:rPr>
          <w:sz w:val="22"/>
          <w:szCs w:val="22"/>
          <w:lang w:val="en-US"/>
        </w:rPr>
        <w:t>The front ya</w:t>
      </w:r>
      <w:r w:rsidR="00F36F25" w:rsidRPr="00F36F25">
        <w:rPr>
          <w:sz w:val="22"/>
          <w:szCs w:val="22"/>
          <w:lang w:val="en-US"/>
        </w:rPr>
        <w:t xml:space="preserve">rd setback requirement is 4.5m, plus an additional 2.5m </w:t>
      </w:r>
      <w:r w:rsidR="00337C05">
        <w:rPr>
          <w:sz w:val="22"/>
          <w:szCs w:val="22"/>
          <w:lang w:val="en-US"/>
        </w:rPr>
        <w:t xml:space="preserve">(for a total 7m), </w:t>
      </w:r>
      <w:r>
        <w:rPr>
          <w:sz w:val="22"/>
          <w:szCs w:val="22"/>
          <w:lang w:val="en-US"/>
        </w:rPr>
        <w:t>as</w:t>
      </w:r>
      <w:r w:rsidR="00F36F25" w:rsidRPr="00F36F25">
        <w:rPr>
          <w:sz w:val="22"/>
          <w:szCs w:val="22"/>
          <w:lang w:val="en-US"/>
        </w:rPr>
        <w:t xml:space="preserve"> the property </w:t>
      </w:r>
      <w:r w:rsidR="00C04851">
        <w:rPr>
          <w:sz w:val="22"/>
          <w:szCs w:val="22"/>
          <w:lang w:val="en-US"/>
        </w:rPr>
        <w:t>abuts a</w:t>
      </w:r>
      <w:r w:rsidR="00F36F25" w:rsidRPr="00F36F25">
        <w:rPr>
          <w:sz w:val="22"/>
          <w:szCs w:val="22"/>
          <w:lang w:val="en-US"/>
        </w:rPr>
        <w:t xml:space="preserve"> major road and dedication has not been taken; </w:t>
      </w:r>
      <w:r w:rsidR="00B27134" w:rsidRPr="00F36F25">
        <w:rPr>
          <w:sz w:val="22"/>
          <w:szCs w:val="22"/>
          <w:lang w:val="en-US"/>
        </w:rPr>
        <w:t xml:space="preserve">however, stairs </w:t>
      </w:r>
      <w:r w:rsidR="0080283A" w:rsidRPr="00F36F25">
        <w:rPr>
          <w:sz w:val="22"/>
          <w:szCs w:val="22"/>
          <w:lang w:val="en-US"/>
        </w:rPr>
        <w:t xml:space="preserve">and front porches </w:t>
      </w:r>
      <w:r w:rsidR="00B27134" w:rsidRPr="00F36F25">
        <w:rPr>
          <w:sz w:val="22"/>
          <w:szCs w:val="22"/>
          <w:lang w:val="en-US"/>
        </w:rPr>
        <w:t xml:space="preserve">are permitted </w:t>
      </w:r>
      <w:r w:rsidR="00C04851">
        <w:rPr>
          <w:sz w:val="22"/>
          <w:szCs w:val="22"/>
          <w:lang w:val="en-US"/>
        </w:rPr>
        <w:t xml:space="preserve">a </w:t>
      </w:r>
      <w:r w:rsidR="00B27134" w:rsidRPr="00F36F25">
        <w:rPr>
          <w:sz w:val="22"/>
          <w:szCs w:val="22"/>
          <w:lang w:val="en-US"/>
        </w:rPr>
        <w:t>2m projection within th</w:t>
      </w:r>
      <w:r w:rsidR="00696649">
        <w:rPr>
          <w:sz w:val="22"/>
          <w:szCs w:val="22"/>
          <w:lang w:val="en-US"/>
        </w:rPr>
        <w:t xml:space="preserve">e front yard </w:t>
      </w:r>
      <w:r w:rsidR="00B27134" w:rsidRPr="00F36F25">
        <w:rPr>
          <w:sz w:val="22"/>
          <w:szCs w:val="22"/>
          <w:lang w:val="en-US"/>
        </w:rPr>
        <w:t xml:space="preserve">setback area.  </w:t>
      </w:r>
      <w:r w:rsidR="00696649">
        <w:rPr>
          <w:sz w:val="22"/>
          <w:szCs w:val="22"/>
          <w:lang w:val="en-US"/>
        </w:rPr>
        <w:t xml:space="preserve">Thus, the variance request is </w:t>
      </w:r>
      <w:r w:rsidR="00696649" w:rsidRPr="00696649">
        <w:rPr>
          <w:sz w:val="22"/>
          <w:szCs w:val="22"/>
          <w:u w:val="single"/>
          <w:lang w:val="en-US"/>
        </w:rPr>
        <w:t>3.07m</w:t>
      </w:r>
      <w:r w:rsidR="00337C05">
        <w:rPr>
          <w:sz w:val="22"/>
          <w:szCs w:val="22"/>
          <w:lang w:val="en-US"/>
        </w:rPr>
        <w:t>.</w:t>
      </w:r>
    </w:p>
    <w:p w:rsidR="00B27134" w:rsidRPr="00F36F25" w:rsidRDefault="00B27134" w:rsidP="00B27134">
      <w:pPr>
        <w:tabs>
          <w:tab w:val="left" w:pos="2700"/>
        </w:tabs>
        <w:jc w:val="both"/>
        <w:rPr>
          <w:sz w:val="22"/>
          <w:szCs w:val="22"/>
          <w:lang w:val="en-US"/>
        </w:rPr>
      </w:pPr>
      <w:r w:rsidRPr="00F36F25">
        <w:rPr>
          <w:sz w:val="22"/>
          <w:szCs w:val="22"/>
          <w:lang w:val="en-US"/>
        </w:rPr>
        <w:t xml:space="preserve"> </w:t>
      </w:r>
    </w:p>
    <w:p w:rsidR="0080283A" w:rsidRPr="00F36F25" w:rsidRDefault="00B27134" w:rsidP="00B27134">
      <w:pPr>
        <w:tabs>
          <w:tab w:val="left" w:pos="2700"/>
        </w:tabs>
        <w:autoSpaceDE w:val="0"/>
        <w:autoSpaceDN w:val="0"/>
        <w:adjustRightInd w:val="0"/>
        <w:ind w:left="2700" w:hanging="2700"/>
        <w:jc w:val="both"/>
        <w:rPr>
          <w:rFonts w:cs="Arial"/>
          <w:color w:val="161616"/>
          <w:sz w:val="22"/>
          <w:szCs w:val="22"/>
          <w:lang w:val="en-CA" w:eastAsia="en-CA"/>
        </w:rPr>
      </w:pPr>
      <w:r w:rsidRPr="00F36F25">
        <w:rPr>
          <w:b/>
          <w:sz w:val="22"/>
          <w:szCs w:val="22"/>
          <w:lang w:val="en-US"/>
        </w:rPr>
        <w:t xml:space="preserve">Zoning Regulations:  </w:t>
      </w:r>
      <w:r w:rsidRPr="00F36F25">
        <w:rPr>
          <w:b/>
          <w:sz w:val="22"/>
          <w:szCs w:val="22"/>
          <w:lang w:val="en-US"/>
        </w:rPr>
        <w:tab/>
      </w:r>
      <w:r w:rsidRPr="00F36F25">
        <w:rPr>
          <w:rFonts w:cs="Arial"/>
          <w:color w:val="161616"/>
          <w:sz w:val="22"/>
          <w:szCs w:val="22"/>
          <w:lang w:val="en-CA" w:eastAsia="en-CA"/>
        </w:rPr>
        <w:t>Single Dwelling Residential - R1. The applicant requests a variance to the City of Nanaimo "ZONING BYLAW 2011 NO</w:t>
      </w:r>
      <w:r w:rsidRPr="00F36F25">
        <w:rPr>
          <w:rFonts w:cs="Arial"/>
          <w:color w:val="303030"/>
          <w:sz w:val="22"/>
          <w:szCs w:val="22"/>
          <w:lang w:val="en-CA" w:eastAsia="en-CA"/>
        </w:rPr>
        <w:t xml:space="preserve">. </w:t>
      </w:r>
      <w:r w:rsidRPr="00F36F25">
        <w:rPr>
          <w:rFonts w:cs="Arial"/>
          <w:color w:val="161616"/>
          <w:sz w:val="22"/>
          <w:szCs w:val="22"/>
          <w:lang w:val="en-CA" w:eastAsia="en-CA"/>
        </w:rPr>
        <w:t>4500</w:t>
      </w:r>
      <w:r w:rsidRPr="00F36F25">
        <w:rPr>
          <w:rFonts w:cs="Arial"/>
          <w:color w:val="303030"/>
          <w:sz w:val="22"/>
          <w:szCs w:val="22"/>
          <w:lang w:val="en-CA" w:eastAsia="en-CA"/>
        </w:rPr>
        <w:t>"</w:t>
      </w:r>
      <w:r w:rsidRPr="00F36F25">
        <w:rPr>
          <w:rFonts w:cs="Arial"/>
          <w:color w:val="161616"/>
          <w:sz w:val="22"/>
          <w:szCs w:val="22"/>
          <w:lang w:val="en-CA" w:eastAsia="en-CA"/>
        </w:rPr>
        <w:t>:</w:t>
      </w:r>
    </w:p>
    <w:p w:rsidR="0080283A" w:rsidRPr="00F36F25" w:rsidRDefault="0080283A" w:rsidP="00B27134">
      <w:pPr>
        <w:tabs>
          <w:tab w:val="left" w:pos="2700"/>
        </w:tabs>
        <w:autoSpaceDE w:val="0"/>
        <w:autoSpaceDN w:val="0"/>
        <w:adjustRightInd w:val="0"/>
        <w:ind w:left="2700" w:hanging="2700"/>
        <w:jc w:val="both"/>
        <w:rPr>
          <w:b/>
          <w:sz w:val="22"/>
          <w:szCs w:val="22"/>
          <w:lang w:val="en-US"/>
        </w:rPr>
      </w:pPr>
    </w:p>
    <w:p w:rsidR="00B27134" w:rsidRDefault="00B27134" w:rsidP="00B27134">
      <w:pPr>
        <w:tabs>
          <w:tab w:val="left" w:pos="2700"/>
        </w:tabs>
        <w:autoSpaceDE w:val="0"/>
        <w:autoSpaceDN w:val="0"/>
        <w:adjustRightInd w:val="0"/>
        <w:ind w:left="2700" w:hanging="2700"/>
        <w:jc w:val="both"/>
        <w:rPr>
          <w:rFonts w:cs="Arial"/>
          <w:i/>
          <w:color w:val="161616"/>
          <w:sz w:val="22"/>
          <w:szCs w:val="22"/>
          <w:lang w:val="en-CA" w:eastAsia="en-CA"/>
        </w:rPr>
      </w:pPr>
      <w:r w:rsidRPr="00F36F25">
        <w:rPr>
          <w:b/>
          <w:sz w:val="22"/>
          <w:szCs w:val="22"/>
          <w:lang w:val="en-US"/>
        </w:rPr>
        <w:tab/>
      </w:r>
      <w:r w:rsidR="00696649">
        <w:rPr>
          <w:rFonts w:cs="Arial"/>
          <w:i/>
          <w:color w:val="161616"/>
          <w:sz w:val="22"/>
          <w:szCs w:val="22"/>
          <w:lang w:val="en-CA" w:eastAsia="en-CA"/>
        </w:rPr>
        <w:t xml:space="preserve">Section 7.5.1  </w:t>
      </w:r>
      <w:r w:rsidRPr="00F36F25">
        <w:rPr>
          <w:rFonts w:cs="Arial"/>
          <w:i/>
          <w:color w:val="161616"/>
          <w:sz w:val="22"/>
          <w:szCs w:val="22"/>
          <w:lang w:val="en-CA" w:eastAsia="en-CA"/>
        </w:rPr>
        <w:t>A front yard setback of 4.5m is required.</w:t>
      </w:r>
    </w:p>
    <w:p w:rsidR="003609FE" w:rsidRPr="00F36F25" w:rsidRDefault="003609FE" w:rsidP="00B27134">
      <w:pPr>
        <w:tabs>
          <w:tab w:val="left" w:pos="2700"/>
        </w:tabs>
        <w:autoSpaceDE w:val="0"/>
        <w:autoSpaceDN w:val="0"/>
        <w:adjustRightInd w:val="0"/>
        <w:ind w:left="2700" w:hanging="2700"/>
        <w:jc w:val="both"/>
        <w:rPr>
          <w:rFonts w:cs="Arial"/>
          <w:i/>
          <w:color w:val="161616"/>
          <w:sz w:val="22"/>
          <w:szCs w:val="22"/>
          <w:lang w:val="en-CA" w:eastAsia="en-CA"/>
        </w:rPr>
      </w:pPr>
    </w:p>
    <w:p w:rsidR="003609FE" w:rsidRDefault="00F36F25" w:rsidP="003609FE">
      <w:pPr>
        <w:tabs>
          <w:tab w:val="left" w:pos="2700"/>
        </w:tabs>
        <w:ind w:left="2700" w:hanging="720"/>
        <w:jc w:val="both"/>
        <w:rPr>
          <w:rFonts w:cs="Arial"/>
          <w:i/>
          <w:sz w:val="22"/>
          <w:szCs w:val="22"/>
          <w:lang w:val="en-US"/>
        </w:rPr>
      </w:pPr>
      <w:r w:rsidRPr="00F36F25">
        <w:rPr>
          <w:rFonts w:cs="Arial"/>
          <w:i/>
          <w:color w:val="161616"/>
          <w:sz w:val="22"/>
          <w:szCs w:val="22"/>
          <w:lang w:val="en-CA" w:eastAsia="en-CA"/>
        </w:rPr>
        <w:tab/>
      </w:r>
      <w:r w:rsidRPr="003609FE">
        <w:rPr>
          <w:rFonts w:cs="Arial"/>
          <w:i/>
          <w:color w:val="161616"/>
          <w:sz w:val="22"/>
          <w:szCs w:val="22"/>
          <w:lang w:val="en-CA" w:eastAsia="en-CA"/>
        </w:rPr>
        <w:t xml:space="preserve">Section 7.5.4 </w:t>
      </w:r>
      <w:r w:rsidR="003609FE" w:rsidRPr="003609FE">
        <w:rPr>
          <w:rFonts w:cs="Arial"/>
          <w:i/>
          <w:sz w:val="22"/>
          <w:szCs w:val="22"/>
          <w:lang w:val="en-US"/>
        </w:rPr>
        <w:t>Notwithstanding 7.5.1, where a property abuts a major road, an additional 2.5m front yard setback is required when the dedication to achieve the required right-of-way width has not occurred to facilitate the widening of the major road.</w:t>
      </w:r>
    </w:p>
    <w:p w:rsidR="003609FE" w:rsidRPr="003609FE" w:rsidRDefault="003609FE" w:rsidP="003609FE">
      <w:pPr>
        <w:tabs>
          <w:tab w:val="left" w:pos="2700"/>
        </w:tabs>
        <w:ind w:left="2700" w:hanging="720"/>
        <w:jc w:val="both"/>
        <w:rPr>
          <w:rFonts w:cs="Arial"/>
          <w:i/>
          <w:sz w:val="22"/>
          <w:szCs w:val="22"/>
          <w:lang w:val="en-US"/>
        </w:rPr>
      </w:pPr>
    </w:p>
    <w:p w:rsidR="00B27134" w:rsidRPr="00F36F25" w:rsidRDefault="00696649" w:rsidP="00B27134">
      <w:pPr>
        <w:tabs>
          <w:tab w:val="left" w:pos="2700"/>
        </w:tabs>
        <w:autoSpaceDE w:val="0"/>
        <w:autoSpaceDN w:val="0"/>
        <w:adjustRightInd w:val="0"/>
        <w:jc w:val="both"/>
        <w:rPr>
          <w:rFonts w:cs="Arial"/>
          <w:i/>
          <w:color w:val="161616"/>
          <w:sz w:val="22"/>
          <w:szCs w:val="22"/>
          <w:lang w:val="en-CA" w:eastAsia="en-CA"/>
        </w:rPr>
      </w:pPr>
      <w:r>
        <w:rPr>
          <w:rFonts w:cs="Arial"/>
          <w:i/>
          <w:color w:val="161616"/>
          <w:sz w:val="22"/>
          <w:szCs w:val="22"/>
          <w:lang w:val="en-CA" w:eastAsia="en-CA"/>
        </w:rPr>
        <w:tab/>
        <w:t xml:space="preserve">Section 6.5.1  </w:t>
      </w:r>
      <w:r w:rsidR="00B27134" w:rsidRPr="00F36F25">
        <w:rPr>
          <w:rFonts w:cs="Arial"/>
          <w:i/>
          <w:color w:val="161616"/>
          <w:sz w:val="22"/>
          <w:szCs w:val="22"/>
          <w:lang w:val="en-CA" w:eastAsia="en-CA"/>
        </w:rPr>
        <w:t>Projections into Yards</w:t>
      </w:r>
    </w:p>
    <w:p w:rsidR="0080283A" w:rsidRPr="00F36F25" w:rsidRDefault="0080283A" w:rsidP="00B27134">
      <w:pPr>
        <w:tabs>
          <w:tab w:val="left" w:pos="2700"/>
        </w:tabs>
        <w:autoSpaceDE w:val="0"/>
        <w:autoSpaceDN w:val="0"/>
        <w:adjustRightInd w:val="0"/>
        <w:jc w:val="both"/>
        <w:rPr>
          <w:rFonts w:cs="Arial"/>
          <w:i/>
          <w:color w:val="161616"/>
          <w:sz w:val="22"/>
          <w:szCs w:val="22"/>
          <w:lang w:val="en-CA" w:eastAsia="en-CA"/>
        </w:rPr>
      </w:pPr>
    </w:p>
    <w:tbl>
      <w:tblPr>
        <w:tblStyle w:val="TableGrid"/>
        <w:tblW w:w="0" w:type="auto"/>
        <w:tblInd w:w="2898" w:type="dxa"/>
        <w:tblLayout w:type="fixed"/>
        <w:tblLook w:val="04A0"/>
      </w:tblPr>
      <w:tblGrid>
        <w:gridCol w:w="1710"/>
        <w:gridCol w:w="1080"/>
        <w:gridCol w:w="1080"/>
        <w:gridCol w:w="1620"/>
        <w:gridCol w:w="1127"/>
      </w:tblGrid>
      <w:tr w:rsidR="00B27134" w:rsidRPr="00F36F25" w:rsidTr="00F36F25">
        <w:tc>
          <w:tcPr>
            <w:tcW w:w="1710" w:type="dxa"/>
            <w:vMerge w:val="restart"/>
            <w:shd w:val="clear" w:color="auto" w:fill="000000" w:themeFill="text1"/>
          </w:tcPr>
          <w:p w:rsidR="00B27134" w:rsidRPr="00F36F25" w:rsidRDefault="00B27134" w:rsidP="00F36F25">
            <w:pPr>
              <w:tabs>
                <w:tab w:val="left" w:pos="2700"/>
              </w:tabs>
              <w:autoSpaceDE w:val="0"/>
              <w:autoSpaceDN w:val="0"/>
              <w:adjustRightInd w:val="0"/>
              <w:spacing w:before="40" w:after="40"/>
              <w:jc w:val="center"/>
              <w:rPr>
                <w:rFonts w:cs="Arial"/>
                <w:b/>
                <w:color w:val="FFFFFF" w:themeColor="background1"/>
                <w:sz w:val="20"/>
                <w:lang w:val="en-CA" w:eastAsia="en-CA"/>
              </w:rPr>
            </w:pPr>
            <w:r w:rsidRPr="00F36F25">
              <w:rPr>
                <w:rFonts w:cs="Arial"/>
                <w:b/>
                <w:color w:val="FFFFFF" w:themeColor="background1"/>
                <w:sz w:val="20"/>
                <w:lang w:val="en-CA" w:eastAsia="en-CA"/>
              </w:rPr>
              <w:t>Feature</w:t>
            </w:r>
          </w:p>
        </w:tc>
        <w:tc>
          <w:tcPr>
            <w:tcW w:w="4907" w:type="dxa"/>
            <w:gridSpan w:val="4"/>
            <w:shd w:val="clear" w:color="auto" w:fill="000000" w:themeFill="text1"/>
          </w:tcPr>
          <w:p w:rsidR="00B27134" w:rsidRPr="00F36F25" w:rsidRDefault="00B27134" w:rsidP="00F36F25">
            <w:pPr>
              <w:tabs>
                <w:tab w:val="left" w:pos="2700"/>
              </w:tabs>
              <w:autoSpaceDE w:val="0"/>
              <w:autoSpaceDN w:val="0"/>
              <w:adjustRightInd w:val="0"/>
              <w:spacing w:before="40" w:after="40"/>
              <w:jc w:val="center"/>
              <w:rPr>
                <w:rFonts w:cs="Arial"/>
                <w:b/>
                <w:color w:val="FFFFFF" w:themeColor="background1"/>
                <w:sz w:val="20"/>
                <w:lang w:val="en-CA" w:eastAsia="en-CA"/>
              </w:rPr>
            </w:pPr>
            <w:r w:rsidRPr="00F36F25">
              <w:rPr>
                <w:rFonts w:cs="Arial"/>
                <w:b/>
                <w:color w:val="FFFFFF" w:themeColor="background1"/>
                <w:sz w:val="20"/>
                <w:lang w:val="en-CA" w:eastAsia="en-CA"/>
              </w:rPr>
              <w:t>Permitted Projection into Required Yard Setback</w:t>
            </w:r>
          </w:p>
        </w:tc>
      </w:tr>
      <w:tr w:rsidR="00B27134" w:rsidRPr="00F36F25" w:rsidTr="00F36F25">
        <w:tc>
          <w:tcPr>
            <w:tcW w:w="1710" w:type="dxa"/>
            <w:vMerge/>
            <w:shd w:val="clear" w:color="auto" w:fill="000000" w:themeFill="text1"/>
          </w:tcPr>
          <w:p w:rsidR="00B27134" w:rsidRPr="00F36F25" w:rsidRDefault="00B27134" w:rsidP="00F36F25">
            <w:pPr>
              <w:tabs>
                <w:tab w:val="left" w:pos="2700"/>
              </w:tabs>
              <w:autoSpaceDE w:val="0"/>
              <w:autoSpaceDN w:val="0"/>
              <w:adjustRightInd w:val="0"/>
              <w:spacing w:before="40" w:after="40"/>
              <w:jc w:val="both"/>
              <w:rPr>
                <w:rFonts w:cs="Arial"/>
                <w:b/>
                <w:color w:val="FFFFFF" w:themeColor="background1"/>
                <w:sz w:val="20"/>
                <w:lang w:val="en-CA" w:eastAsia="en-CA"/>
              </w:rPr>
            </w:pPr>
          </w:p>
        </w:tc>
        <w:tc>
          <w:tcPr>
            <w:tcW w:w="1080" w:type="dxa"/>
            <w:shd w:val="clear" w:color="auto" w:fill="000000" w:themeFill="text1"/>
          </w:tcPr>
          <w:p w:rsidR="00B27134" w:rsidRPr="00F36F25" w:rsidRDefault="00B27134" w:rsidP="00F36F25">
            <w:pPr>
              <w:tabs>
                <w:tab w:val="left" w:pos="2700"/>
              </w:tabs>
              <w:autoSpaceDE w:val="0"/>
              <w:autoSpaceDN w:val="0"/>
              <w:adjustRightInd w:val="0"/>
              <w:spacing w:before="40" w:after="40"/>
              <w:jc w:val="center"/>
              <w:rPr>
                <w:rFonts w:cs="Arial"/>
                <w:b/>
                <w:color w:val="FFFFFF" w:themeColor="background1"/>
                <w:sz w:val="20"/>
                <w:lang w:val="en-CA" w:eastAsia="en-CA"/>
              </w:rPr>
            </w:pPr>
            <w:r w:rsidRPr="00F36F25">
              <w:rPr>
                <w:rFonts w:cs="Arial"/>
                <w:b/>
                <w:color w:val="FFFFFF" w:themeColor="background1"/>
                <w:sz w:val="20"/>
                <w:lang w:val="en-CA" w:eastAsia="en-CA"/>
              </w:rPr>
              <w:t>Front</w:t>
            </w:r>
          </w:p>
        </w:tc>
        <w:tc>
          <w:tcPr>
            <w:tcW w:w="1080" w:type="dxa"/>
            <w:shd w:val="clear" w:color="auto" w:fill="000000" w:themeFill="text1"/>
          </w:tcPr>
          <w:p w:rsidR="00B27134" w:rsidRPr="00F36F25" w:rsidRDefault="00B27134" w:rsidP="00F36F25">
            <w:pPr>
              <w:tabs>
                <w:tab w:val="left" w:pos="2700"/>
              </w:tabs>
              <w:autoSpaceDE w:val="0"/>
              <w:autoSpaceDN w:val="0"/>
              <w:adjustRightInd w:val="0"/>
              <w:spacing w:before="40" w:after="40"/>
              <w:jc w:val="center"/>
              <w:rPr>
                <w:rFonts w:cs="Arial"/>
                <w:b/>
                <w:color w:val="FFFFFF" w:themeColor="background1"/>
                <w:sz w:val="20"/>
                <w:lang w:val="en-CA" w:eastAsia="en-CA"/>
              </w:rPr>
            </w:pPr>
            <w:r w:rsidRPr="00F36F25">
              <w:rPr>
                <w:rFonts w:cs="Arial"/>
                <w:b/>
                <w:color w:val="FFFFFF" w:themeColor="background1"/>
                <w:sz w:val="20"/>
                <w:lang w:val="en-CA" w:eastAsia="en-CA"/>
              </w:rPr>
              <w:t>Side</w:t>
            </w:r>
          </w:p>
        </w:tc>
        <w:tc>
          <w:tcPr>
            <w:tcW w:w="1620" w:type="dxa"/>
            <w:shd w:val="clear" w:color="auto" w:fill="000000" w:themeFill="text1"/>
          </w:tcPr>
          <w:p w:rsidR="00B27134" w:rsidRPr="00F36F25" w:rsidRDefault="00B27134" w:rsidP="00F36F25">
            <w:pPr>
              <w:tabs>
                <w:tab w:val="left" w:pos="2700"/>
              </w:tabs>
              <w:autoSpaceDE w:val="0"/>
              <w:autoSpaceDN w:val="0"/>
              <w:adjustRightInd w:val="0"/>
              <w:spacing w:before="40" w:after="40"/>
              <w:jc w:val="center"/>
              <w:rPr>
                <w:rFonts w:cs="Arial"/>
                <w:b/>
                <w:color w:val="FFFFFF" w:themeColor="background1"/>
                <w:sz w:val="20"/>
                <w:lang w:val="en-CA" w:eastAsia="en-CA"/>
              </w:rPr>
            </w:pPr>
            <w:r w:rsidRPr="00F36F25">
              <w:rPr>
                <w:rFonts w:cs="Arial"/>
                <w:b/>
                <w:color w:val="FFFFFF" w:themeColor="background1"/>
                <w:sz w:val="20"/>
                <w:lang w:val="en-CA" w:eastAsia="en-CA"/>
              </w:rPr>
              <w:t>Flanking Side</w:t>
            </w:r>
          </w:p>
        </w:tc>
        <w:tc>
          <w:tcPr>
            <w:tcW w:w="1127" w:type="dxa"/>
            <w:shd w:val="clear" w:color="auto" w:fill="000000" w:themeFill="text1"/>
          </w:tcPr>
          <w:p w:rsidR="00B27134" w:rsidRPr="00F36F25" w:rsidRDefault="00B27134" w:rsidP="00F36F25">
            <w:pPr>
              <w:tabs>
                <w:tab w:val="left" w:pos="2700"/>
              </w:tabs>
              <w:autoSpaceDE w:val="0"/>
              <w:autoSpaceDN w:val="0"/>
              <w:adjustRightInd w:val="0"/>
              <w:spacing w:before="40" w:after="40"/>
              <w:jc w:val="center"/>
              <w:rPr>
                <w:rFonts w:cs="Arial"/>
                <w:b/>
                <w:color w:val="FFFFFF" w:themeColor="background1"/>
                <w:sz w:val="20"/>
                <w:lang w:val="en-CA" w:eastAsia="en-CA"/>
              </w:rPr>
            </w:pPr>
            <w:r w:rsidRPr="00F36F25">
              <w:rPr>
                <w:rFonts w:cs="Arial"/>
                <w:b/>
                <w:color w:val="FFFFFF" w:themeColor="background1"/>
                <w:sz w:val="20"/>
                <w:lang w:val="en-CA" w:eastAsia="en-CA"/>
              </w:rPr>
              <w:t>Rear</w:t>
            </w:r>
          </w:p>
        </w:tc>
      </w:tr>
      <w:tr w:rsidR="00B27134" w:rsidRPr="00F36F25" w:rsidTr="00F36F25">
        <w:tc>
          <w:tcPr>
            <w:tcW w:w="1710" w:type="dxa"/>
          </w:tcPr>
          <w:p w:rsidR="00B27134" w:rsidRPr="00F36F25" w:rsidRDefault="00B27134"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Steps and Landings</w:t>
            </w:r>
          </w:p>
        </w:tc>
        <w:tc>
          <w:tcPr>
            <w:tcW w:w="1080" w:type="dxa"/>
          </w:tcPr>
          <w:p w:rsidR="00B27134" w:rsidRPr="00F36F25" w:rsidRDefault="00B27134"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2m</w:t>
            </w:r>
          </w:p>
        </w:tc>
        <w:tc>
          <w:tcPr>
            <w:tcW w:w="1080" w:type="dxa"/>
          </w:tcPr>
          <w:p w:rsidR="00B27134" w:rsidRPr="00F36F25" w:rsidRDefault="00B27134"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w:t>
            </w:r>
          </w:p>
        </w:tc>
        <w:tc>
          <w:tcPr>
            <w:tcW w:w="1620" w:type="dxa"/>
          </w:tcPr>
          <w:p w:rsidR="00B27134" w:rsidRPr="00F36F25" w:rsidRDefault="00B27134"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2m</w:t>
            </w:r>
          </w:p>
        </w:tc>
        <w:tc>
          <w:tcPr>
            <w:tcW w:w="1127" w:type="dxa"/>
          </w:tcPr>
          <w:p w:rsidR="00B27134" w:rsidRPr="00F36F25" w:rsidRDefault="00B27134"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2m</w:t>
            </w:r>
          </w:p>
        </w:tc>
      </w:tr>
      <w:tr w:rsidR="0080283A" w:rsidRPr="00F36F25" w:rsidTr="00F36F25">
        <w:tc>
          <w:tcPr>
            <w:tcW w:w="1710" w:type="dxa"/>
          </w:tcPr>
          <w:p w:rsidR="0080283A" w:rsidRPr="00F36F25" w:rsidRDefault="0080283A"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Front Porch</w:t>
            </w:r>
          </w:p>
        </w:tc>
        <w:tc>
          <w:tcPr>
            <w:tcW w:w="1080" w:type="dxa"/>
          </w:tcPr>
          <w:p w:rsidR="0080283A" w:rsidRPr="00F36F25" w:rsidRDefault="0080283A"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2m</w:t>
            </w:r>
          </w:p>
        </w:tc>
        <w:tc>
          <w:tcPr>
            <w:tcW w:w="1080" w:type="dxa"/>
          </w:tcPr>
          <w:p w:rsidR="0080283A" w:rsidRPr="00F36F25" w:rsidRDefault="0080283A"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w:t>
            </w:r>
          </w:p>
        </w:tc>
        <w:tc>
          <w:tcPr>
            <w:tcW w:w="1620" w:type="dxa"/>
          </w:tcPr>
          <w:p w:rsidR="0080283A" w:rsidRPr="00F36F25" w:rsidRDefault="0080283A"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w:t>
            </w:r>
          </w:p>
        </w:tc>
        <w:tc>
          <w:tcPr>
            <w:tcW w:w="1127" w:type="dxa"/>
          </w:tcPr>
          <w:p w:rsidR="0080283A" w:rsidRPr="00F36F25" w:rsidRDefault="0080283A" w:rsidP="00F36F25">
            <w:pPr>
              <w:tabs>
                <w:tab w:val="left" w:pos="2700"/>
              </w:tabs>
              <w:autoSpaceDE w:val="0"/>
              <w:autoSpaceDN w:val="0"/>
              <w:adjustRightInd w:val="0"/>
              <w:spacing w:before="40" w:after="40"/>
              <w:jc w:val="center"/>
              <w:rPr>
                <w:rFonts w:cs="Arial"/>
                <w:color w:val="161616"/>
                <w:sz w:val="20"/>
                <w:lang w:val="en-CA" w:eastAsia="en-CA"/>
              </w:rPr>
            </w:pPr>
            <w:r w:rsidRPr="00F36F25">
              <w:rPr>
                <w:rFonts w:cs="Arial"/>
                <w:color w:val="161616"/>
                <w:sz w:val="20"/>
                <w:lang w:val="en-CA" w:eastAsia="en-CA"/>
              </w:rPr>
              <w:t>---</w:t>
            </w:r>
          </w:p>
        </w:tc>
      </w:tr>
    </w:tbl>
    <w:p w:rsidR="00B27134" w:rsidRPr="00F36F25" w:rsidRDefault="00B27134" w:rsidP="00B27134">
      <w:pPr>
        <w:tabs>
          <w:tab w:val="left" w:pos="2700"/>
        </w:tabs>
        <w:autoSpaceDE w:val="0"/>
        <w:autoSpaceDN w:val="0"/>
        <w:adjustRightInd w:val="0"/>
        <w:ind w:left="2700" w:hanging="2700"/>
        <w:jc w:val="both"/>
        <w:rPr>
          <w:rFonts w:cs="Arial"/>
          <w:color w:val="161616"/>
          <w:sz w:val="22"/>
          <w:szCs w:val="22"/>
          <w:lang w:val="en-CA" w:eastAsia="en-CA"/>
        </w:rPr>
      </w:pPr>
    </w:p>
    <w:p w:rsidR="003609FE" w:rsidRDefault="003609FE" w:rsidP="00B27134">
      <w:pPr>
        <w:tabs>
          <w:tab w:val="left" w:pos="2700"/>
        </w:tabs>
        <w:autoSpaceDE w:val="0"/>
        <w:autoSpaceDN w:val="0"/>
        <w:adjustRightInd w:val="0"/>
        <w:ind w:left="2700" w:hanging="2700"/>
        <w:jc w:val="both"/>
        <w:rPr>
          <w:b/>
          <w:sz w:val="22"/>
          <w:szCs w:val="22"/>
        </w:rPr>
      </w:pPr>
    </w:p>
    <w:p w:rsidR="003609FE" w:rsidRDefault="003609FE" w:rsidP="00B27134">
      <w:pPr>
        <w:tabs>
          <w:tab w:val="left" w:pos="2700"/>
        </w:tabs>
        <w:autoSpaceDE w:val="0"/>
        <w:autoSpaceDN w:val="0"/>
        <w:adjustRightInd w:val="0"/>
        <w:ind w:left="2700" w:hanging="2700"/>
        <w:jc w:val="both"/>
        <w:rPr>
          <w:b/>
          <w:sz w:val="22"/>
          <w:szCs w:val="22"/>
        </w:rPr>
      </w:pPr>
    </w:p>
    <w:p w:rsidR="00B27134" w:rsidRDefault="00B27134" w:rsidP="00B27134">
      <w:pPr>
        <w:tabs>
          <w:tab w:val="left" w:pos="2700"/>
        </w:tabs>
        <w:autoSpaceDE w:val="0"/>
        <w:autoSpaceDN w:val="0"/>
        <w:adjustRightInd w:val="0"/>
        <w:ind w:left="2700" w:hanging="2700"/>
        <w:jc w:val="both"/>
        <w:rPr>
          <w:rFonts w:cs="Arial"/>
          <w:color w:val="161616"/>
          <w:sz w:val="22"/>
          <w:szCs w:val="22"/>
          <w:lang w:val="en-CA" w:eastAsia="en-CA"/>
        </w:rPr>
      </w:pPr>
      <w:r w:rsidRPr="00F36F25">
        <w:rPr>
          <w:b/>
          <w:sz w:val="22"/>
          <w:szCs w:val="22"/>
        </w:rPr>
        <w:t xml:space="preserve">Local Government Act: </w:t>
      </w:r>
      <w:r w:rsidRPr="00F36F25">
        <w:rPr>
          <w:b/>
          <w:sz w:val="22"/>
          <w:szCs w:val="22"/>
        </w:rPr>
        <w:tab/>
      </w:r>
      <w:r w:rsidRPr="00F36F25">
        <w:rPr>
          <w:rFonts w:cs="Arial"/>
          <w:color w:val="161616"/>
          <w:sz w:val="22"/>
          <w:szCs w:val="22"/>
          <w:lang w:val="en-CA" w:eastAsia="en-CA"/>
        </w:rPr>
        <w:t xml:space="preserve">Section 911 (9) and (10) of </w:t>
      </w:r>
      <w:r w:rsidRPr="00F36F25">
        <w:rPr>
          <w:rFonts w:cs="Arial"/>
          <w:i/>
          <w:color w:val="161616"/>
          <w:sz w:val="22"/>
          <w:szCs w:val="22"/>
          <w:lang w:val="en-CA" w:eastAsia="en-CA"/>
        </w:rPr>
        <w:t xml:space="preserve">the Local Government Act </w:t>
      </w:r>
      <w:r w:rsidRPr="00F36F25">
        <w:rPr>
          <w:rFonts w:cs="Arial"/>
          <w:color w:val="161616"/>
          <w:sz w:val="22"/>
          <w:szCs w:val="22"/>
          <w:lang w:val="en-CA" w:eastAsia="en-CA"/>
        </w:rPr>
        <w:t>states:</w:t>
      </w:r>
    </w:p>
    <w:p w:rsidR="003609FE" w:rsidRPr="00F36F25" w:rsidRDefault="003609FE" w:rsidP="00B27134">
      <w:pPr>
        <w:tabs>
          <w:tab w:val="left" w:pos="2700"/>
        </w:tabs>
        <w:autoSpaceDE w:val="0"/>
        <w:autoSpaceDN w:val="0"/>
        <w:adjustRightInd w:val="0"/>
        <w:ind w:left="2700" w:hanging="2700"/>
        <w:jc w:val="both"/>
        <w:rPr>
          <w:rFonts w:cs="Arial"/>
          <w:color w:val="161616"/>
          <w:sz w:val="22"/>
          <w:szCs w:val="22"/>
          <w:lang w:val="en-CA" w:eastAsia="en-CA"/>
        </w:rPr>
      </w:pPr>
    </w:p>
    <w:p w:rsidR="00B27134" w:rsidRPr="00F36F25" w:rsidRDefault="00B27134" w:rsidP="00B27134">
      <w:pPr>
        <w:tabs>
          <w:tab w:val="left" w:pos="2700"/>
        </w:tabs>
        <w:autoSpaceDE w:val="0"/>
        <w:autoSpaceDN w:val="0"/>
        <w:adjustRightInd w:val="0"/>
        <w:ind w:left="2700" w:hanging="2700"/>
        <w:jc w:val="both"/>
        <w:rPr>
          <w:rFonts w:cs="Arial"/>
          <w:color w:val="161616"/>
          <w:sz w:val="22"/>
          <w:szCs w:val="22"/>
          <w:lang w:val="en-CA" w:eastAsia="en-CA"/>
        </w:rPr>
      </w:pPr>
      <w:r w:rsidRPr="00F36F25">
        <w:rPr>
          <w:b/>
          <w:sz w:val="22"/>
          <w:szCs w:val="22"/>
        </w:rPr>
        <w:tab/>
      </w:r>
      <w:r w:rsidRPr="00F36F25">
        <w:rPr>
          <w:sz w:val="22"/>
          <w:szCs w:val="22"/>
        </w:rPr>
        <w:t>“If the use and density of buildings and structures conform to a bylaw under this division.</w:t>
      </w:r>
      <w:r w:rsidRPr="00F36F25">
        <w:rPr>
          <w:rFonts w:cs="Arial"/>
          <w:color w:val="161616"/>
          <w:sz w:val="22"/>
          <w:szCs w:val="22"/>
          <w:lang w:val="en-CA" w:eastAsia="en-CA"/>
        </w:rPr>
        <w:t>..but the siting, size or dimensions of a building or structure constructed before the bylaw was adopted does not conform with the bylaw, ... the building or structure ... may be maintained, extended or altered ... only to the extent that the repair, extension or alteration would, when completed, involve no further contravention of the bylaw than that existing at the time the repair, extension or alteration was started.”</w:t>
      </w:r>
    </w:p>
    <w:p w:rsidR="00C031DE" w:rsidRPr="00F36F25" w:rsidRDefault="00C031DE" w:rsidP="00C031DE">
      <w:pPr>
        <w:ind w:left="2700" w:hanging="2700"/>
        <w:jc w:val="both"/>
        <w:rPr>
          <w:sz w:val="22"/>
          <w:szCs w:val="22"/>
          <w:lang w:val="en-US"/>
        </w:rPr>
      </w:pPr>
    </w:p>
    <w:p w:rsidR="00C031DE" w:rsidRPr="00F36F25" w:rsidRDefault="00C031DE" w:rsidP="00C031DE">
      <w:pPr>
        <w:jc w:val="both"/>
        <w:rPr>
          <w:sz w:val="22"/>
          <w:szCs w:val="22"/>
          <w:lang w:val="en-US"/>
        </w:rPr>
      </w:pPr>
      <w:r w:rsidRPr="00F36F25">
        <w:rPr>
          <w:sz w:val="22"/>
          <w:szCs w:val="22"/>
          <w:lang w:val="en-US"/>
        </w:rPr>
        <w:t xml:space="preserve">The Board of Variance decision will apply to subsequent owners of the land.  If you deem your property to be affected by this appeal, please feel free to attend this meeting.  </w:t>
      </w:r>
      <w:r w:rsidRPr="00F36F25">
        <w:rPr>
          <w:color w:val="000000"/>
          <w:sz w:val="22"/>
          <w:szCs w:val="22"/>
        </w:rPr>
        <w:t>Anyone wishing to address this appeal will be afforded the opportunity to be heard at the Board of Variance meeting. This application may be reviewed with Staff at the Community Safety &amp; Development offices, 238 Franklyn Street, Nanaimo, BC, or by</w:t>
      </w:r>
      <w:r w:rsidR="00B27134" w:rsidRPr="00F36F25">
        <w:rPr>
          <w:color w:val="000000"/>
          <w:sz w:val="22"/>
          <w:szCs w:val="22"/>
        </w:rPr>
        <w:t xml:space="preserve"> </w:t>
      </w:r>
      <w:r w:rsidRPr="00F36F25">
        <w:rPr>
          <w:color w:val="000000"/>
          <w:sz w:val="22"/>
          <w:szCs w:val="22"/>
        </w:rPr>
        <w:t xml:space="preserve">calling 250-755-4429 (x4344), during normal business hours, Monday to Friday, excluding statutory holidays, from 2012-NOV-06 to </w:t>
      </w:r>
      <w:r w:rsidRPr="00F36F25">
        <w:rPr>
          <w:sz w:val="22"/>
          <w:szCs w:val="22"/>
          <w:lang w:val="en-US"/>
        </w:rPr>
        <w:t>2012-NOV-15</w:t>
      </w:r>
      <w:r w:rsidRPr="00F36F25">
        <w:rPr>
          <w:color w:val="000000"/>
          <w:sz w:val="22"/>
          <w:szCs w:val="22"/>
        </w:rPr>
        <w:t xml:space="preserve">, inclusive.  </w:t>
      </w:r>
    </w:p>
    <w:p w:rsidR="005164DF" w:rsidRPr="00F36F25" w:rsidRDefault="005164DF">
      <w:pPr>
        <w:rPr>
          <w:sz w:val="22"/>
          <w:szCs w:val="22"/>
        </w:rPr>
      </w:pPr>
    </w:p>
    <w:sectPr w:rsidR="005164DF" w:rsidRPr="00F36F25" w:rsidSect="00696649">
      <w:headerReference w:type="default" r:id="rId7"/>
      <w:pgSz w:w="12240" w:h="15840" w:code="1"/>
      <w:pgMar w:top="864" w:right="1440" w:bottom="43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C9" w:rsidRDefault="000D0FC9">
      <w:r>
        <w:separator/>
      </w:r>
    </w:p>
  </w:endnote>
  <w:endnote w:type="continuationSeparator" w:id="0">
    <w:p w:rsidR="000D0FC9" w:rsidRDefault="000D0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C9" w:rsidRDefault="000D0FC9">
      <w:r>
        <w:separator/>
      </w:r>
    </w:p>
  </w:footnote>
  <w:footnote w:type="continuationSeparator" w:id="0">
    <w:p w:rsidR="000D0FC9" w:rsidRDefault="000D0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C9" w:rsidRDefault="000D0FC9">
    <w:pPr>
      <w:pStyle w:val="Header"/>
      <w:jc w:val="center"/>
    </w:pPr>
    <w:r>
      <w:t xml:space="preserve">Page </w:t>
    </w:r>
    <w:sdt>
      <w:sdtPr>
        <w:id w:val="23016029"/>
        <w:docPartObj>
          <w:docPartGallery w:val="Page Numbers (Top of Page)"/>
          <w:docPartUnique/>
        </w:docPartObj>
      </w:sdtPr>
      <w:sdtContent>
        <w:fldSimple w:instr=" PAGE   \* MERGEFORMAT ">
          <w:r w:rsidR="00337C05">
            <w:rPr>
              <w:noProof/>
            </w:rPr>
            <w:t>2</w:t>
          </w:r>
        </w:fldSimple>
      </w:sdtContent>
    </w:sdt>
  </w:p>
  <w:p w:rsidR="000D0FC9" w:rsidRDefault="000D0F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C46D1B"/>
    <w:rsid w:val="00046FD4"/>
    <w:rsid w:val="000D0FC9"/>
    <w:rsid w:val="00183652"/>
    <w:rsid w:val="0023373E"/>
    <w:rsid w:val="00277E59"/>
    <w:rsid w:val="00300226"/>
    <w:rsid w:val="00337C05"/>
    <w:rsid w:val="003609FE"/>
    <w:rsid w:val="003F4392"/>
    <w:rsid w:val="005164DF"/>
    <w:rsid w:val="00696649"/>
    <w:rsid w:val="0080283A"/>
    <w:rsid w:val="00821E5C"/>
    <w:rsid w:val="00933C53"/>
    <w:rsid w:val="0093585A"/>
    <w:rsid w:val="009454BF"/>
    <w:rsid w:val="00B27134"/>
    <w:rsid w:val="00B33E51"/>
    <w:rsid w:val="00C031DE"/>
    <w:rsid w:val="00C04851"/>
    <w:rsid w:val="00C46D1B"/>
    <w:rsid w:val="00F14141"/>
    <w:rsid w:val="00F36F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1D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E5C"/>
    <w:pPr>
      <w:tabs>
        <w:tab w:val="center" w:pos="4320"/>
        <w:tab w:val="right" w:pos="8640"/>
      </w:tabs>
    </w:pPr>
  </w:style>
  <w:style w:type="paragraph" w:styleId="Footer">
    <w:name w:val="footer"/>
    <w:basedOn w:val="Normal"/>
    <w:rsid w:val="00821E5C"/>
    <w:pPr>
      <w:tabs>
        <w:tab w:val="center" w:pos="4320"/>
        <w:tab w:val="right" w:pos="8640"/>
      </w:tabs>
    </w:pPr>
  </w:style>
  <w:style w:type="paragraph" w:styleId="BalloonText">
    <w:name w:val="Balloon Text"/>
    <w:basedOn w:val="Normal"/>
    <w:link w:val="BalloonTextChar"/>
    <w:rsid w:val="00C031DE"/>
    <w:rPr>
      <w:rFonts w:ascii="Tahoma" w:hAnsi="Tahoma" w:cs="Tahoma"/>
      <w:sz w:val="16"/>
      <w:szCs w:val="16"/>
    </w:rPr>
  </w:style>
  <w:style w:type="character" w:customStyle="1" w:styleId="BalloonTextChar">
    <w:name w:val="Balloon Text Char"/>
    <w:basedOn w:val="DefaultParagraphFont"/>
    <w:link w:val="BalloonText"/>
    <w:rsid w:val="00C031DE"/>
    <w:rPr>
      <w:rFonts w:ascii="Tahoma" w:hAnsi="Tahoma" w:cs="Tahoma"/>
      <w:sz w:val="16"/>
      <w:szCs w:val="16"/>
      <w:lang w:val="en-GB" w:eastAsia="en-US"/>
    </w:rPr>
  </w:style>
  <w:style w:type="table" w:styleId="TableGrid">
    <w:name w:val="Table Grid"/>
    <w:basedOn w:val="TableNormal"/>
    <w:rsid w:val="00C03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80283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uiPriority w:val="99"/>
    <w:rsid w:val="003609FE"/>
    <w:rPr>
      <w:rFonts w:ascii="Arial" w:hAnsi="Arial"/>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2</cp:revision>
  <cp:lastPrinted>2012-11-01T23:16:00Z</cp:lastPrinted>
  <dcterms:created xsi:type="dcterms:W3CDTF">2012-11-01T23:25:00Z</dcterms:created>
  <dcterms:modified xsi:type="dcterms:W3CDTF">2012-11-01T23:25:00Z</dcterms:modified>
</cp:coreProperties>
</file>